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32" w:line="216" w:lineRule="auto"/>
        <w:ind w:left="-15" w:firstLine="0"/>
        <w:rPr/>
      </w:pPr>
      <w:bookmarkStart w:colFirst="0" w:colLast="0" w:name="_heading=h.g435q9qjlrhz" w:id="0"/>
      <w:bookmarkEnd w:id="0"/>
      <w:r w:rsidDel="00000000" w:rsidR="00000000" w:rsidRPr="00000000">
        <w:rPr>
          <w:sz w:val="18"/>
          <w:szCs w:val="18"/>
          <w:rtl w:val="0"/>
        </w:rPr>
        <w:t xml:space="preserve">MANUEL DE TERRAIN SUR LES ENFANTS NON ACCOMPAGNÉS ET SÉPARÉS</w:t>
      </w:r>
      <w:r w:rsidDel="00000000" w:rsidR="00000000" w:rsidRPr="00000000">
        <w:rPr>
          <w:rtl w:val="0"/>
        </w:rPr>
      </w:r>
    </w:p>
    <w:p w:rsidR="00000000" w:rsidDel="00000000" w:rsidP="00000000" w:rsidRDefault="00000000" w:rsidRPr="00000000" w14:paraId="00000002">
      <w:pPr>
        <w:spacing w:after="24" w:line="223" w:lineRule="auto"/>
        <w:ind w:left="-5" w:hanging="10"/>
        <w:rPr/>
      </w:pPr>
      <w:r w:rsidDel="00000000" w:rsidR="00000000" w:rsidRPr="00000000">
        <w:rPr/>
        <w:drawing>
          <wp:inline distB="0" distT="0" distL="0" distR="0">
            <wp:extent cx="100682" cy="41176"/>
            <wp:effectExtent b="0" l="0" r="0" t="0"/>
            <wp:docPr id="14648"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0682" cy="41176"/>
                    </a:xfrm>
                    <a:prstGeom prst="rect"/>
                    <a:ln/>
                  </pic:spPr>
                </pic:pic>
              </a:graphicData>
            </a:graphic>
          </wp:inline>
        </w:drawing>
      </w:r>
      <w:r w:rsidDel="00000000" w:rsidR="00000000" w:rsidRPr="00000000">
        <w:rPr>
          <w:sz w:val="16"/>
          <w:szCs w:val="16"/>
          <w:rtl w:val="0"/>
        </w:rPr>
        <w:t xml:space="preserve">Chapitre 05</w:t>
      </w:r>
      <w:r w:rsidDel="00000000" w:rsidR="00000000" w:rsidRPr="00000000">
        <w:rPr>
          <w:rtl w:val="0"/>
        </w:rPr>
      </w:r>
    </w:p>
    <w:p w:rsidR="00000000" w:rsidDel="00000000" w:rsidP="00000000" w:rsidRDefault="00000000" w:rsidRPr="00000000" w14:paraId="00000003">
      <w:pPr>
        <w:spacing w:after="468" w:lineRule="auto"/>
        <w:ind w:left="-14" w:right="-287" w:firstLine="0"/>
        <w:rPr/>
      </w:pPr>
      <w:r w:rsidDel="00000000" w:rsidR="00000000" w:rsidRPr="00000000">
        <w:rPr/>
        <mc:AlternateContent>
          <mc:Choice Requires="wpg">
            <w:drawing>
              <wp:inline distB="0" distT="0" distL="0" distR="0">
                <wp:extent cx="6342973" cy="13726"/>
                <wp:effectExtent b="0" l="0" r="0" t="0"/>
                <wp:docPr id="14647" name=""/>
                <a:graphic>
                  <a:graphicData uri="http://schemas.microsoft.com/office/word/2010/wordprocessingGroup">
                    <wpg:wgp>
                      <wpg:cNvGrpSpPr/>
                      <wpg:grpSpPr>
                        <a:xfrm>
                          <a:off x="2174500" y="3773125"/>
                          <a:ext cx="6342973" cy="13726"/>
                          <a:chOff x="2174500" y="3773125"/>
                          <a:chExt cx="6343000" cy="13750"/>
                        </a:xfrm>
                      </wpg:grpSpPr>
                      <wpg:grpSp>
                        <wpg:cNvGrpSpPr/>
                        <wpg:grpSpPr>
                          <a:xfrm>
                            <a:off x="2174514" y="3773137"/>
                            <a:ext cx="6342973" cy="13726"/>
                            <a:chOff x="0" y="0"/>
                            <a:chExt cx="6342973" cy="13726"/>
                          </a:xfrm>
                        </wpg:grpSpPr>
                        <wps:wsp>
                          <wps:cNvSpPr/>
                          <wps:cNvPr id="3" name="Shape 3"/>
                          <wps:spPr>
                            <a:xfrm>
                              <a:off x="0" y="0"/>
                              <a:ext cx="6342950" cy="13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6342973" cy="13726"/>
                            </a:xfrm>
                            <a:custGeom>
                              <a:rect b="b" l="l" r="r" t="t"/>
                              <a:pathLst>
                                <a:path extrusionOk="0" h="13726" w="6342973">
                                  <a:moveTo>
                                    <a:pt x="0" y="6863"/>
                                  </a:moveTo>
                                  <a:lnTo>
                                    <a:pt x="6342973" y="6863"/>
                                  </a:lnTo>
                                </a:path>
                              </a:pathLst>
                            </a:custGeom>
                            <a:noFill/>
                            <a:ln cap="flat" cmpd="sng" w="13725">
                              <a:solidFill>
                                <a:srgbClr val="000000"/>
                              </a:solidFill>
                              <a:prstDash val="solid"/>
                              <a:miter lim="100000"/>
                              <a:headEnd len="sm" w="sm" type="none"/>
                              <a:tailEnd len="sm" w="sm"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342973" cy="13726"/>
                <wp:effectExtent b="0" l="0" r="0" t="0"/>
                <wp:docPr id="14647"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342973" cy="1372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4">
      <w:pPr>
        <w:spacing w:after="0" w:lineRule="auto"/>
        <w:ind w:left="110" w:hanging="10"/>
        <w:rPr/>
      </w:pPr>
      <w:r w:rsidDel="00000000" w:rsidR="00000000" w:rsidRPr="00000000">
        <w:rPr>
          <w:rtl w:val="0"/>
        </w:rPr>
        <w:t xml:space="preserve">TABLEAU 3</w:t>
      </w:r>
    </w:p>
    <w:p w:rsidR="00000000" w:rsidDel="00000000" w:rsidP="00000000" w:rsidRDefault="00000000" w:rsidRPr="00000000" w14:paraId="00000005">
      <w:pPr>
        <w:spacing w:after="0" w:lineRule="auto"/>
        <w:ind w:left="110" w:hanging="10"/>
        <w:rPr/>
      </w:pPr>
      <w:r w:rsidDel="00000000" w:rsidR="00000000" w:rsidRPr="00000000">
        <w:rPr>
          <w:rtl w:val="0"/>
        </w:rPr>
        <w:t xml:space="preserve">PRATIQUES EXEMPLAIRES EN MATIÈRE D'ÉVALUATION DE LA SÉPARATION FAMILIALE</w:t>
      </w:r>
    </w:p>
    <w:tbl>
      <w:tblPr>
        <w:tblStyle w:val="Table1"/>
        <w:tblW w:w="10005.0" w:type="dxa"/>
        <w:jc w:val="left"/>
        <w:tblInd w:w="-29.0" w:type="dxa"/>
        <w:tblLayout w:type="fixed"/>
        <w:tblLook w:val="0400"/>
      </w:tblPr>
      <w:tblGrid>
        <w:gridCol w:w="2205"/>
        <w:gridCol w:w="480"/>
        <w:gridCol w:w="7320"/>
        <w:tblGridChange w:id="0">
          <w:tblGrid>
            <w:gridCol w:w="2205"/>
            <w:gridCol w:w="480"/>
            <w:gridCol w:w="7320"/>
          </w:tblGrid>
        </w:tblGridChange>
      </w:tblGrid>
      <w:tr>
        <w:trPr>
          <w:cantSplit w:val="0"/>
          <w:trHeight w:val="2088" w:hRule="atLeast"/>
          <w:tblHeader w:val="0"/>
        </w:trPr>
        <w:tc>
          <w:tcPr>
            <w:tcBorders>
              <w:top w:color="000000" w:space="0" w:sz="4" w:val="single"/>
              <w:left w:color="000000" w:space="0" w:sz="0" w:val="nil"/>
              <w:bottom w:color="000000" w:space="0" w:sz="4" w:val="single"/>
              <w:right w:color="000000" w:space="0" w:sz="4" w:val="single"/>
            </w:tcBorders>
            <w:shd w:fill="00b0f0" w:val="clear"/>
          </w:tcPr>
          <w:p w:rsidR="00000000" w:rsidDel="00000000" w:rsidP="00000000" w:rsidRDefault="00000000" w:rsidRPr="00000000" w14:paraId="00000006">
            <w:pPr>
              <w:ind w:left="14" w:right="180" w:firstLine="231"/>
              <w:jc w:val="both"/>
              <w:rPr/>
            </w:pPr>
            <w:r w:rsidDel="00000000" w:rsidR="00000000" w:rsidRPr="00000000">
              <w:rPr>
                <w:sz w:val="24"/>
                <w:szCs w:val="24"/>
                <w:rtl w:val="0"/>
              </w:rPr>
              <w:t xml:space="preserve">Une approche éthique de l'évaluation exige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07">
            <w:pPr>
              <w:spacing w:after="159" w:lineRule="auto"/>
              <w:ind w:left="274" w:firstLine="0"/>
              <w:jc w:val="center"/>
              <w:rPr/>
            </w:pPr>
            <w:r w:rsidDel="00000000" w:rsidR="00000000" w:rsidRPr="00000000">
              <w:rPr>
                <w:rtl w:val="0"/>
              </w:rPr>
            </w:r>
          </w:p>
          <w:p w:rsidR="00000000" w:rsidDel="00000000" w:rsidP="00000000" w:rsidRDefault="00000000" w:rsidRPr="00000000" w14:paraId="00000008">
            <w:pPr>
              <w:ind w:left="274" w:firstLine="0"/>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numPr>
                <w:ilvl w:val="0"/>
                <w:numId w:val="1"/>
              </w:numPr>
              <w:spacing w:line="259" w:lineRule="auto"/>
              <w:ind w:left="720" w:hanging="360"/>
            </w:pPr>
            <w:r w:rsidDel="00000000" w:rsidR="00000000" w:rsidRPr="00000000">
              <w:rPr>
                <w:sz w:val="18"/>
                <w:szCs w:val="18"/>
                <w:rtl w:val="0"/>
              </w:rPr>
              <w:t xml:space="preserve">Un engagement à prendre des mesures de suivi, au besoin.</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Établir u</w:t>
            </w:r>
            <w:r w:rsidDel="00000000" w:rsidR="00000000" w:rsidRPr="00000000">
              <w:rPr>
                <w:sz w:val="20"/>
                <w:szCs w:val="20"/>
                <w:rtl w:val="0"/>
              </w:rPr>
              <w:t xml:space="preserve">ne procédure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de référencement avant l'évaluation pour tout cas nécessitant un suivi ou des soins urgents.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16" w:lineRule="auto"/>
              <w:ind w:left="720" w:right="62"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S'abstenir d'agir si la communauté locale peut s'en sortir seule, à moins que ses actions ne violent les droits fondamentaux des enfants.</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Éviter la création de fausses attentes.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Éviter les méthodes qui pourraient stigmatiser les enfants, les mettre en danger de quelque manière que ce soit où augmenter l'incidence de la séparation familiale.</w:t>
            </w:r>
            <w:r w:rsidDel="00000000" w:rsidR="00000000" w:rsidRPr="00000000">
              <w:rPr>
                <w:rtl w:val="0"/>
              </w:rPr>
            </w:r>
          </w:p>
        </w:tc>
      </w:tr>
      <w:tr>
        <w:trPr>
          <w:cantSplit w:val="0"/>
          <w:trHeight w:val="8090" w:hRule="atLeast"/>
          <w:tblHeader w:val="0"/>
        </w:trPr>
        <w:tc>
          <w:tcPr>
            <w:vMerge w:val="restart"/>
            <w:tcBorders>
              <w:top w:color="000000" w:space="0" w:sz="4" w:val="single"/>
              <w:left w:color="000000" w:space="0" w:sz="0" w:val="nil"/>
              <w:right w:color="000000" w:space="0" w:sz="4" w:val="single"/>
            </w:tcBorders>
            <w:shd w:fill="00b0f0"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808" w:before="0" w:line="259"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évaluations devraient idéalement être menées</w:t>
            </w:r>
          </w:p>
          <w:p w:rsidR="00000000" w:rsidDel="00000000" w:rsidP="00000000" w:rsidRDefault="00000000" w:rsidRPr="00000000" w14:paraId="00000010">
            <w:pPr>
              <w:ind w:left="14" w:firstLine="231"/>
              <w:jc w:val="both"/>
              <w:rPr>
                <w:sz w:val="24"/>
                <w:szCs w:val="24"/>
              </w:rPr>
            </w:pPr>
            <w:r w:rsidDel="00000000" w:rsidR="00000000" w:rsidRPr="00000000">
              <w:rPr>
                <w:rtl w:val="0"/>
              </w:rPr>
            </w:r>
          </w:p>
          <w:p w:rsidR="00000000" w:rsidDel="00000000" w:rsidP="00000000" w:rsidRDefault="00000000" w:rsidRPr="00000000" w14:paraId="00000011">
            <w:pPr>
              <w:ind w:left="14" w:firstLine="231"/>
              <w:jc w:val="both"/>
              <w:rPr>
                <w:sz w:val="24"/>
                <w:szCs w:val="24"/>
              </w:rPr>
            </w:pPr>
            <w:r w:rsidDel="00000000" w:rsidR="00000000" w:rsidRPr="00000000">
              <w:rPr>
                <w:rtl w:val="0"/>
              </w:rPr>
            </w:r>
          </w:p>
          <w:p w:rsidR="00000000" w:rsidDel="00000000" w:rsidP="00000000" w:rsidRDefault="00000000" w:rsidRPr="00000000" w14:paraId="00000012">
            <w:pPr>
              <w:ind w:left="14" w:firstLine="231"/>
              <w:jc w:val="both"/>
              <w:rPr>
                <w:sz w:val="24"/>
                <w:szCs w:val="24"/>
              </w:rPr>
            </w:pPr>
            <w:r w:rsidDel="00000000" w:rsidR="00000000" w:rsidRPr="00000000">
              <w:rPr>
                <w:rtl w:val="0"/>
              </w:rPr>
            </w:r>
          </w:p>
          <w:p w:rsidR="00000000" w:rsidDel="00000000" w:rsidP="00000000" w:rsidRDefault="00000000" w:rsidRPr="00000000" w14:paraId="00000013">
            <w:pPr>
              <w:ind w:left="14" w:firstLine="231"/>
              <w:jc w:val="both"/>
              <w:rPr>
                <w:sz w:val="24"/>
                <w:szCs w:val="24"/>
              </w:rPr>
            </w:pPr>
            <w:r w:rsidDel="00000000" w:rsidR="00000000" w:rsidRPr="00000000">
              <w:rPr>
                <w:rtl w:val="0"/>
              </w:rPr>
            </w:r>
          </w:p>
          <w:p w:rsidR="00000000" w:rsidDel="00000000" w:rsidP="00000000" w:rsidRDefault="00000000" w:rsidRPr="00000000" w14:paraId="00000014">
            <w:pPr>
              <w:ind w:left="14" w:firstLine="231"/>
              <w:jc w:val="both"/>
              <w:rPr>
                <w:sz w:val="24"/>
                <w:szCs w:val="24"/>
              </w:rPr>
            </w:pPr>
            <w:r w:rsidDel="00000000" w:rsidR="00000000" w:rsidRPr="00000000">
              <w:rPr>
                <w:rtl w:val="0"/>
              </w:rPr>
            </w:r>
          </w:p>
          <w:p w:rsidR="00000000" w:rsidDel="00000000" w:rsidP="00000000" w:rsidRDefault="00000000" w:rsidRPr="00000000" w14:paraId="00000015">
            <w:pPr>
              <w:ind w:left="14" w:firstLine="231"/>
              <w:jc w:val="both"/>
              <w:rPr>
                <w:sz w:val="24"/>
                <w:szCs w:val="24"/>
              </w:rPr>
            </w:pPr>
            <w:r w:rsidDel="00000000" w:rsidR="00000000" w:rsidRPr="00000000">
              <w:rPr>
                <w:rtl w:val="0"/>
              </w:rPr>
            </w:r>
          </w:p>
          <w:p w:rsidR="00000000" w:rsidDel="00000000" w:rsidP="00000000" w:rsidRDefault="00000000" w:rsidRPr="00000000" w14:paraId="00000016">
            <w:pPr>
              <w:ind w:left="14" w:firstLine="231"/>
              <w:jc w:val="both"/>
              <w:rPr>
                <w:sz w:val="24"/>
                <w:szCs w:val="24"/>
              </w:rPr>
            </w:pPr>
            <w:r w:rsidDel="00000000" w:rsidR="00000000" w:rsidRPr="00000000">
              <w:rPr>
                <w:rtl w:val="0"/>
              </w:rPr>
            </w:r>
          </w:p>
          <w:p w:rsidR="00000000" w:rsidDel="00000000" w:rsidP="00000000" w:rsidRDefault="00000000" w:rsidRPr="00000000" w14:paraId="00000017">
            <w:pPr>
              <w:ind w:left="14" w:firstLine="231"/>
              <w:jc w:val="both"/>
              <w:rPr>
                <w:sz w:val="24"/>
                <w:szCs w:val="24"/>
              </w:rPr>
            </w:pPr>
            <w:r w:rsidDel="00000000" w:rsidR="00000000" w:rsidRPr="00000000">
              <w:rPr>
                <w:rtl w:val="0"/>
              </w:rPr>
            </w:r>
          </w:p>
          <w:p w:rsidR="00000000" w:rsidDel="00000000" w:rsidP="00000000" w:rsidRDefault="00000000" w:rsidRPr="00000000" w14:paraId="00000018">
            <w:pPr>
              <w:ind w:left="14" w:firstLine="231"/>
              <w:jc w:val="both"/>
              <w:rPr>
                <w:sz w:val="24"/>
                <w:szCs w:val="24"/>
              </w:rPr>
            </w:pPr>
            <w:r w:rsidDel="00000000" w:rsidR="00000000" w:rsidRPr="00000000">
              <w:rPr>
                <w:rtl w:val="0"/>
              </w:rPr>
            </w:r>
          </w:p>
          <w:p w:rsidR="00000000" w:rsidDel="00000000" w:rsidP="00000000" w:rsidRDefault="00000000" w:rsidRPr="00000000" w14:paraId="00000019">
            <w:pPr>
              <w:ind w:left="14" w:firstLine="231"/>
              <w:jc w:val="both"/>
              <w:rPr>
                <w:sz w:val="24"/>
                <w:szCs w:val="24"/>
              </w:rPr>
            </w:pPr>
            <w:r w:rsidDel="00000000" w:rsidR="00000000" w:rsidRPr="00000000">
              <w:rPr>
                <w:rtl w:val="0"/>
              </w:rPr>
            </w:r>
          </w:p>
          <w:p w:rsidR="00000000" w:rsidDel="00000000" w:rsidP="00000000" w:rsidRDefault="00000000" w:rsidRPr="00000000" w14:paraId="0000001A">
            <w:pPr>
              <w:ind w:left="14" w:firstLine="231"/>
              <w:jc w:val="both"/>
              <w:rPr>
                <w:sz w:val="24"/>
                <w:szCs w:val="24"/>
              </w:rPr>
            </w:pPr>
            <w:r w:rsidDel="00000000" w:rsidR="00000000" w:rsidRPr="00000000">
              <w:rPr>
                <w:rtl w:val="0"/>
              </w:rPr>
            </w:r>
          </w:p>
          <w:p w:rsidR="00000000" w:rsidDel="00000000" w:rsidP="00000000" w:rsidRDefault="00000000" w:rsidRPr="00000000" w14:paraId="0000001B">
            <w:pPr>
              <w:ind w:left="14" w:firstLine="231"/>
              <w:jc w:val="both"/>
              <w:rPr>
                <w:sz w:val="24"/>
                <w:szCs w:val="24"/>
              </w:rPr>
            </w:pPr>
            <w:r w:rsidDel="00000000" w:rsidR="00000000" w:rsidRPr="00000000">
              <w:rPr>
                <w:rtl w:val="0"/>
              </w:rPr>
            </w:r>
          </w:p>
          <w:p w:rsidR="00000000" w:rsidDel="00000000" w:rsidP="00000000" w:rsidRDefault="00000000" w:rsidRPr="00000000" w14:paraId="0000001C">
            <w:pPr>
              <w:ind w:left="14" w:firstLine="231"/>
              <w:jc w:val="both"/>
              <w:rPr>
                <w:sz w:val="24"/>
                <w:szCs w:val="24"/>
              </w:rPr>
            </w:pPr>
            <w:r w:rsidDel="00000000" w:rsidR="00000000" w:rsidRPr="00000000">
              <w:rPr>
                <w:rtl w:val="0"/>
              </w:rPr>
            </w:r>
          </w:p>
          <w:p w:rsidR="00000000" w:rsidDel="00000000" w:rsidP="00000000" w:rsidRDefault="00000000" w:rsidRPr="00000000" w14:paraId="0000001D">
            <w:pPr>
              <w:ind w:left="14" w:firstLine="231"/>
              <w:jc w:val="both"/>
              <w:rPr>
                <w:sz w:val="24"/>
                <w:szCs w:val="24"/>
              </w:rPr>
            </w:pPr>
            <w:r w:rsidDel="00000000" w:rsidR="00000000" w:rsidRPr="00000000">
              <w:rPr>
                <w:rtl w:val="0"/>
              </w:rPr>
            </w:r>
          </w:p>
          <w:p w:rsidR="00000000" w:rsidDel="00000000" w:rsidP="00000000" w:rsidRDefault="00000000" w:rsidRPr="00000000" w14:paraId="0000001E">
            <w:pPr>
              <w:ind w:left="14" w:firstLine="231"/>
              <w:jc w:val="both"/>
              <w:rPr>
                <w:sz w:val="24"/>
                <w:szCs w:val="24"/>
              </w:rPr>
            </w:pPr>
            <w:r w:rsidDel="00000000" w:rsidR="00000000" w:rsidRPr="00000000">
              <w:rPr>
                <w:rtl w:val="0"/>
              </w:rPr>
            </w:r>
          </w:p>
          <w:p w:rsidR="00000000" w:rsidDel="00000000" w:rsidP="00000000" w:rsidRDefault="00000000" w:rsidRPr="00000000" w14:paraId="0000001F">
            <w:pPr>
              <w:ind w:left="14" w:firstLine="231"/>
              <w:jc w:val="both"/>
              <w:rPr>
                <w:sz w:val="24"/>
                <w:szCs w:val="24"/>
              </w:rPr>
            </w:pPr>
            <w:r w:rsidDel="00000000" w:rsidR="00000000" w:rsidRPr="00000000">
              <w:rPr>
                <w:rtl w:val="0"/>
              </w:rPr>
            </w:r>
          </w:p>
          <w:p w:rsidR="00000000" w:rsidDel="00000000" w:rsidP="00000000" w:rsidRDefault="00000000" w:rsidRPr="00000000" w14:paraId="00000020">
            <w:pPr>
              <w:ind w:left="14" w:firstLine="231"/>
              <w:jc w:val="both"/>
              <w:rPr>
                <w:sz w:val="24"/>
                <w:szCs w:val="24"/>
              </w:rPr>
            </w:pPr>
            <w:r w:rsidDel="00000000" w:rsidR="00000000" w:rsidRPr="00000000">
              <w:rPr>
                <w:rtl w:val="0"/>
              </w:rPr>
            </w:r>
          </w:p>
          <w:p w:rsidR="00000000" w:rsidDel="00000000" w:rsidP="00000000" w:rsidRDefault="00000000" w:rsidRPr="00000000" w14:paraId="00000021">
            <w:pPr>
              <w:ind w:left="14" w:firstLine="231"/>
              <w:jc w:val="both"/>
              <w:rPr>
                <w:sz w:val="24"/>
                <w:szCs w:val="24"/>
              </w:rPr>
            </w:pPr>
            <w:r w:rsidDel="00000000" w:rsidR="00000000" w:rsidRPr="00000000">
              <w:rPr>
                <w:rtl w:val="0"/>
              </w:rPr>
            </w:r>
          </w:p>
          <w:p w:rsidR="00000000" w:rsidDel="00000000" w:rsidP="00000000" w:rsidRDefault="00000000" w:rsidRPr="00000000" w14:paraId="00000022">
            <w:pPr>
              <w:ind w:left="14" w:firstLine="231"/>
              <w:jc w:val="both"/>
              <w:rPr>
                <w:sz w:val="24"/>
                <w:szCs w:val="24"/>
              </w:rPr>
            </w:pPr>
            <w:r w:rsidDel="00000000" w:rsidR="00000000" w:rsidRPr="00000000">
              <w:rPr>
                <w:rtl w:val="0"/>
              </w:rPr>
            </w:r>
          </w:p>
          <w:p w:rsidR="00000000" w:rsidDel="00000000" w:rsidP="00000000" w:rsidRDefault="00000000" w:rsidRPr="00000000" w14:paraId="00000023">
            <w:pPr>
              <w:ind w:left="14" w:firstLine="231"/>
              <w:jc w:val="both"/>
              <w:rPr>
                <w:sz w:val="24"/>
                <w:szCs w:val="24"/>
              </w:rPr>
            </w:pPr>
            <w:r w:rsidDel="00000000" w:rsidR="00000000" w:rsidRPr="00000000">
              <w:rPr>
                <w:rtl w:val="0"/>
              </w:rPr>
            </w:r>
          </w:p>
          <w:p w:rsidR="00000000" w:rsidDel="00000000" w:rsidP="00000000" w:rsidRDefault="00000000" w:rsidRPr="00000000" w14:paraId="00000024">
            <w:pPr>
              <w:ind w:left="0" w:firstLine="0"/>
              <w:jc w:val="both"/>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bottom"/>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306"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spacing w:after="339" w:lineRule="auto"/>
              <w:ind w:left="274" w:firstLine="0"/>
              <w:jc w:val="center"/>
              <w:rPr/>
            </w:pPr>
            <w:r w:rsidDel="00000000" w:rsidR="00000000" w:rsidRPr="00000000">
              <w:rPr>
                <w:rtl w:val="0"/>
              </w:rPr>
            </w:r>
          </w:p>
          <w:p w:rsidR="00000000" w:rsidDel="00000000" w:rsidP="00000000" w:rsidRDefault="00000000" w:rsidRPr="00000000" w14:paraId="00000027">
            <w:pPr>
              <w:spacing w:after="808" w:lineRule="auto"/>
              <w:ind w:left="274" w:firstLine="0"/>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utilisant différentes méthodologies parmi les différents segments de la population pour donner une image complète de la séparation ; Cependant, il faut éviter plusieurs évaluations du même type au même endroit.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Par une équipe ayant une formation et une expérience en matière de séparation des familles dans les situations d'urgence, y compris des méthodes d'évaluation, des entretiens adaptés aux enfants et le consentement éclairé.</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Par des membres de l'équipe ayant une connaissance du contexte (en particulier, de la situation historique, sociale et politique), ou par des personnes parfaitement informées des problèmes de séparation préexistants dans la région.</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221"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tenant compte de la confidentialité de l'information, en veillant à ce que tous les évaluateurs comprennent la nécessité de la confidentialité, à ce que des systèmes soient en place pour la transmission et le stockage sécuritaires des données et des renseignements recueillis, et à ce qu'une entente soit conclue à cet égard.</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Avec la participation active des membres de la communauté touchée, y compris les enfants et les familles. Dans des circonstances </w:t>
            </w:r>
            <w:r w:rsidDel="00000000" w:rsidR="00000000" w:rsidRPr="00000000">
              <w:rPr>
                <w:sz w:val="20"/>
                <w:szCs w:val="20"/>
                <w:rtl w:val="0"/>
              </w:rPr>
              <w:t xml:space="preserve">fortement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politisées, </w:t>
            </w:r>
            <w:r w:rsidDel="00000000" w:rsidR="00000000" w:rsidRPr="00000000">
              <w:rPr>
                <w:sz w:val="20"/>
                <w:szCs w:val="20"/>
                <w:rtl w:val="0"/>
              </w:rPr>
              <w:t xml:space="preserve">il est nécessaire de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faire preuve de discernement dans le choix des membres de l'équipe qui peuvent souhaiter poursuivre leur propre programme.</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D'une manière qui s'appuie sur les connaissances et la documentation existantes, en particulier les évaluations entreprises à l'étape de la préparation (voir le chapitre 5.1).</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214"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manière </w:t>
            </w:r>
            <w:r w:rsidDel="00000000" w:rsidR="00000000" w:rsidRPr="00000000">
              <w:rPr>
                <w:sz w:val="20"/>
                <w:szCs w:val="20"/>
                <w:rtl w:val="0"/>
              </w:rPr>
              <w:t xml:space="preserve">qui engage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participation des enfants (lorsque cela est sûr, significatif et approprié), et qui t</w:t>
            </w:r>
            <w:r w:rsidDel="00000000" w:rsidR="00000000" w:rsidRPr="00000000">
              <w:rPr>
                <w:sz w:val="20"/>
                <w:szCs w:val="20"/>
                <w:rtl w:val="0"/>
              </w:rPr>
              <w:t xml:space="preserve">ient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compte de leurs opinions et de leurs souhaits, et qui soit sensible à l'âge, </w:t>
            </w:r>
            <w:r w:rsidDel="00000000" w:rsidR="00000000" w:rsidRPr="00000000">
              <w:rPr>
                <w:sz w:val="20"/>
                <w:szCs w:val="20"/>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 sexe et </w:t>
            </w:r>
            <w:r w:rsidDel="00000000" w:rsidR="00000000" w:rsidRPr="00000000">
              <w:rPr>
                <w:sz w:val="20"/>
                <w:szCs w:val="20"/>
                <w:rtl w:val="0"/>
              </w:rPr>
              <w:t xml:space="preserve">à</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la culture, en utilisant des techniques d'écoute et d'entretien </w:t>
            </w:r>
            <w:r w:rsidDel="00000000" w:rsidR="00000000" w:rsidRPr="00000000">
              <w:rPr>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adaptées aux enfants</w:t>
            </w:r>
            <w:r w:rsidDel="00000000" w:rsidR="00000000" w:rsidRPr="00000000">
              <w:rPr>
                <w:sz w:val="20"/>
                <w:szCs w:val="20"/>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221"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 utilisant l'observation directe et les entretiens avec des informateurs clés auprès d'un large éventail d'informateurs et de </w:t>
            </w:r>
            <w:r w:rsidDel="00000000" w:rsidR="00000000" w:rsidRPr="00000000">
              <w:rPr>
                <w:sz w:val="20"/>
                <w:szCs w:val="20"/>
                <w:rtl w:val="0"/>
              </w:rPr>
              <w:t xml:space="preserve">leaders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communautaires clés représentatif des genres, y compris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enfants,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chefs religieux,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groupes de femmes,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autorités locales et nationales, des enseignants, des agents de santé,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soldats, </w:t>
            </w:r>
            <w:r w:rsidDel="00000000" w:rsidR="00000000" w:rsidRPr="00000000">
              <w:rPr>
                <w:sz w:val="20"/>
                <w:szCs w:val="20"/>
                <w:rtl w:val="0"/>
              </w:rPr>
              <w:t xml:space="preserv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 autorités pénitentiaires, </w:t>
            </w:r>
            <w:r w:rsidDel="00000000" w:rsidR="00000000" w:rsidRPr="00000000">
              <w:rPr>
                <w:sz w:val="20"/>
                <w:szCs w:val="20"/>
                <w:rtl w:val="0"/>
              </w:rPr>
              <w:t xml:space="preserve">le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personnel d'orphelinat et </w:t>
            </w:r>
            <w:r w:rsidDel="00000000" w:rsidR="00000000" w:rsidRPr="00000000">
              <w:rPr>
                <w:sz w:val="20"/>
                <w:szCs w:val="20"/>
                <w:rtl w:val="0"/>
              </w:rPr>
              <w:t xml:space="preserve">le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personnel d'organisations locales et internationales.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Dans les endroits où les </w:t>
            </w:r>
            <w:r w:rsidDel="00000000" w:rsidR="00000000" w:rsidRPr="00000000">
              <w:rPr>
                <w:sz w:val="20"/>
                <w:szCs w:val="20"/>
                <w:rtl w:val="0"/>
              </w:rPr>
              <w:t xml:space="preserve">ENAS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sont susceptibles d'être trouvés, y compris dans les hôpitaux, les prisons et toutes les formes de soins résidentiels.</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manière à sensibiliser la communauté, les autorités, les organisations non gouvernementales et d'autres acteurs aux questions liées à la séparation des familles.</w:t>
            </w:r>
          </w:p>
          <w:p w:rsidR="00000000" w:rsidDel="00000000" w:rsidP="00000000" w:rsidRDefault="00000000" w:rsidRPr="00000000" w14:paraId="00000032">
            <w:pPr>
              <w:spacing w:after="3" w:line="216" w:lineRule="auto"/>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33">
            <w:pPr>
              <w:ind w:left="14" w:firstLine="0"/>
              <w:rPr/>
            </w:pPr>
            <w:r w:rsidDel="00000000" w:rsidR="00000000" w:rsidRPr="00000000">
              <w:rPr>
                <w:rtl w:val="0"/>
              </w:rPr>
            </w:r>
          </w:p>
        </w:tc>
      </w:tr>
      <w:tr>
        <w:trPr>
          <w:cantSplit w:val="0"/>
          <w:trHeight w:val="1959" w:hRule="atLeast"/>
          <w:tblHeader w:val="0"/>
        </w:trPr>
        <w:tc>
          <w:tcPr>
            <w:vMerge w:val="continue"/>
            <w:tcBorders>
              <w:top w:color="000000" w:space="0" w:sz="4" w:val="single"/>
              <w:left w:color="000000" w:space="0" w:sz="0" w:val="nil"/>
              <w:right w:color="000000" w:space="0" w:sz="4" w:val="single"/>
            </w:tcBorders>
            <w:shd w:fill="00b0f0"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bottom"/>
          </w:tcPr>
          <w:p w:rsidR="00000000" w:rsidDel="00000000" w:rsidP="00000000" w:rsidRDefault="00000000" w:rsidRPr="00000000" w14:paraId="00000035">
            <w:pPr>
              <w:ind w:left="274" w:firstLine="0"/>
              <w:jc w:val="center"/>
              <w:rPr>
                <w:sz w:val="26"/>
                <w:szCs w:val="26"/>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6">
            <w:pPr>
              <w:spacing w:after="192" w:line="216" w:lineRule="auto"/>
              <w:ind w:right="331"/>
              <w:rPr>
                <w:sz w:val="20"/>
                <w:szCs w:val="20"/>
              </w:rPr>
            </w:pPr>
            <w:r w:rsidDel="00000000" w:rsidR="00000000" w:rsidRPr="00000000">
              <w:rPr>
                <w:rtl w:val="0"/>
              </w:rPr>
            </w:r>
          </w:p>
        </w:tc>
      </w:tr>
      <w:tr>
        <w:trPr>
          <w:cantSplit w:val="0"/>
          <w:trHeight w:val="5450" w:hRule="atLeast"/>
          <w:tblHeader w:val="0"/>
        </w:trPr>
        <w:tc>
          <w:tcPr>
            <w:tcBorders>
              <w:top w:color="000000" w:space="0" w:sz="4" w:val="single"/>
              <w:left w:color="000000" w:space="0" w:sz="0" w:val="nil"/>
              <w:bottom w:color="000000" w:space="0" w:sz="4" w:val="single"/>
              <w:right w:color="000000" w:space="0" w:sz="4" w:val="single"/>
            </w:tcBorders>
            <w:shd w:fill="00b0f0" w:val="clear"/>
          </w:tcPr>
          <w:p w:rsidR="00000000" w:rsidDel="00000000" w:rsidP="00000000" w:rsidRDefault="00000000" w:rsidRPr="00000000" w14:paraId="00000037">
            <w:pPr>
              <w:shd w:fill="00b0f0" w:val="clear"/>
              <w:ind w:left="-5" w:hanging="10"/>
              <w:rPr>
                <w:sz w:val="24"/>
                <w:szCs w:val="24"/>
              </w:rPr>
            </w:pPr>
            <w:r w:rsidDel="00000000" w:rsidR="00000000" w:rsidRPr="00000000">
              <w:rPr>
                <w:sz w:val="24"/>
                <w:szCs w:val="24"/>
                <w:rtl w:val="0"/>
              </w:rPr>
              <w:t xml:space="preserve">Les </w:t>
            </w:r>
          </w:p>
          <w:p w:rsidR="00000000" w:rsidDel="00000000" w:rsidP="00000000" w:rsidRDefault="00000000" w:rsidRPr="00000000" w14:paraId="00000038">
            <w:pPr>
              <w:shd w:fill="00b0f0" w:val="clear"/>
              <w:ind w:left="-5" w:hanging="10"/>
              <w:rPr/>
            </w:pPr>
            <w:r w:rsidDel="00000000" w:rsidR="00000000" w:rsidRPr="00000000">
              <w:rPr>
                <w:sz w:val="24"/>
                <w:szCs w:val="24"/>
                <w:rtl w:val="0"/>
              </w:rPr>
              <w:t xml:space="preserve">Évaluations devraient prendre en compte : </w:t>
            </w:r>
            <w:r w:rsidDel="00000000" w:rsidR="00000000" w:rsidRPr="00000000">
              <w:rPr>
                <w:rtl w:val="0"/>
              </w:rPr>
            </w:r>
          </w:p>
          <w:p w:rsidR="00000000" w:rsidDel="00000000" w:rsidP="00000000" w:rsidRDefault="00000000" w:rsidRPr="00000000" w14:paraId="00000039">
            <w:pPr>
              <w:ind w:left="14" w:firstLine="231"/>
              <w:jc w:val="both"/>
              <w:rPr/>
            </w:pPr>
            <w:r w:rsidDel="00000000" w:rsidR="00000000" w:rsidRPr="00000000">
              <w:rPr>
                <w:rtl w:val="0"/>
              </w:rPr>
            </w:r>
          </w:p>
          <w:p w:rsidR="00000000" w:rsidDel="00000000" w:rsidP="00000000" w:rsidRDefault="00000000" w:rsidRPr="00000000" w14:paraId="0000003A">
            <w:pPr>
              <w:ind w:left="14" w:firstLine="231"/>
              <w:jc w:val="both"/>
              <w:rPr/>
            </w:pPr>
            <w:r w:rsidDel="00000000" w:rsidR="00000000" w:rsidRPr="00000000">
              <w:rPr>
                <w:rtl w:val="0"/>
              </w:rPr>
            </w:r>
          </w:p>
          <w:p w:rsidR="00000000" w:rsidDel="00000000" w:rsidP="00000000" w:rsidRDefault="00000000" w:rsidRPr="00000000" w14:paraId="0000003B">
            <w:pPr>
              <w:ind w:left="14" w:firstLine="231"/>
              <w:jc w:val="both"/>
              <w:rPr/>
            </w:pPr>
            <w:r w:rsidDel="00000000" w:rsidR="00000000" w:rsidRPr="00000000">
              <w:rPr>
                <w:rtl w:val="0"/>
              </w:rPr>
            </w:r>
          </w:p>
          <w:p w:rsidR="00000000" w:rsidDel="00000000" w:rsidP="00000000" w:rsidRDefault="00000000" w:rsidRPr="00000000" w14:paraId="0000003C">
            <w:pPr>
              <w:ind w:left="14" w:firstLine="231"/>
              <w:jc w:val="both"/>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bottom"/>
          </w:tcPr>
          <w:p w:rsidR="00000000" w:rsidDel="00000000" w:rsidP="00000000" w:rsidRDefault="00000000" w:rsidRPr="00000000" w14:paraId="0000003D">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808" w:before="0" w:line="259" w:lineRule="auto"/>
              <w:ind w:left="2160" w:right="0" w:hanging="360"/>
              <w:jc w:val="left"/>
              <w:rPr/>
            </w:pPr>
            <w:r w:rsidDel="00000000" w:rsidR="00000000" w:rsidRPr="00000000">
              <w:rPr>
                <w:rtl w:val="0"/>
              </w:rPr>
            </w:r>
          </w:p>
          <w:p w:rsidR="00000000" w:rsidDel="00000000" w:rsidP="00000000" w:rsidRDefault="00000000" w:rsidRPr="00000000" w14:paraId="0000003E">
            <w:pPr>
              <w:spacing w:after="519" w:lineRule="auto"/>
              <w:ind w:left="274" w:firstLine="0"/>
              <w:jc w:val="center"/>
              <w:rPr/>
            </w:pPr>
            <w:r w:rsidDel="00000000" w:rsidR="00000000" w:rsidRPr="00000000">
              <w:rPr>
                <w:rtl w:val="0"/>
              </w:rPr>
            </w:r>
          </w:p>
          <w:p w:rsidR="00000000" w:rsidDel="00000000" w:rsidP="00000000" w:rsidRDefault="00000000" w:rsidRPr="00000000" w14:paraId="0000003F">
            <w:pPr>
              <w:spacing w:after="152" w:lineRule="auto"/>
              <w:ind w:left="274" w:firstLine="0"/>
              <w:jc w:val="center"/>
              <w:rPr/>
            </w:pPr>
            <w:r w:rsidDel="00000000" w:rsidR="00000000" w:rsidRPr="00000000">
              <w:rPr>
                <w:rtl w:val="0"/>
              </w:rPr>
            </w:r>
          </w:p>
          <w:p w:rsidR="00000000" w:rsidDel="00000000" w:rsidP="00000000" w:rsidRDefault="00000000" w:rsidRPr="00000000" w14:paraId="00000040">
            <w:pPr>
              <w:ind w:left="274" w:firstLine="0"/>
              <w:jc w:val="center"/>
              <w:rPr/>
            </w:pP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1">
            <w:pPr>
              <w:spacing w:after="3" w:line="216" w:lineRule="auto"/>
              <w:rPr>
                <w:sz w:val="20"/>
                <w:szCs w:val="20"/>
              </w:rPr>
            </w:pPr>
            <w:r w:rsidDel="00000000" w:rsidR="00000000" w:rsidRPr="00000000">
              <w:rPr>
                <w:rtl w:val="0"/>
              </w:rPr>
            </w:r>
          </w:p>
          <w:p w:rsidR="00000000" w:rsidDel="00000000" w:rsidP="00000000" w:rsidRDefault="00000000" w:rsidRPr="00000000" w14:paraId="00000042">
            <w:pPr>
              <w:numPr>
                <w:ilvl w:val="0"/>
                <w:numId w:val="2"/>
              </w:numPr>
              <w:spacing w:line="259" w:lineRule="auto"/>
              <w:ind w:left="720" w:hanging="360"/>
              <w:rPr>
                <w:rFonts w:ascii="Calibri" w:cs="Calibri" w:eastAsia="Calibri" w:hAnsi="Calibri"/>
                <w:sz w:val="20"/>
                <w:szCs w:val="20"/>
              </w:rPr>
            </w:pPr>
            <w:r w:rsidDel="00000000" w:rsidR="00000000" w:rsidRPr="00000000">
              <w:rPr>
                <w:rtl w:val="0"/>
              </w:rPr>
              <w:t xml:space="preserve">Une analyse des causes et des modèles de séparation.</w:t>
            </w:r>
            <w:r w:rsidDel="00000000" w:rsidR="00000000" w:rsidRPr="00000000">
              <w:rPr>
                <w:rtl w:val="0"/>
              </w:rPr>
            </w:r>
          </w:p>
          <w:p w:rsidR="00000000" w:rsidDel="00000000" w:rsidP="00000000" w:rsidRDefault="00000000" w:rsidRPr="00000000" w14:paraId="00000043">
            <w:pPr>
              <w:numPr>
                <w:ilvl w:val="0"/>
                <w:numId w:val="2"/>
              </w:numPr>
              <w:spacing w:after="160" w:line="259" w:lineRule="auto"/>
              <w:ind w:left="720" w:hanging="360"/>
              <w:rPr>
                <w:rFonts w:ascii="Calibri" w:cs="Calibri" w:eastAsia="Calibri" w:hAnsi="Calibri"/>
                <w:sz w:val="20"/>
                <w:szCs w:val="20"/>
              </w:rPr>
            </w:pPr>
            <w:r w:rsidDel="00000000" w:rsidR="00000000" w:rsidRPr="00000000">
              <w:rPr>
                <w:sz w:val="20"/>
                <w:szCs w:val="20"/>
                <w:rtl w:val="0"/>
              </w:rPr>
              <w:t xml:space="preserve">Le Nombre de tous les ENAS dans divers endroits, ventilés par âge et par sexe. </w:t>
            </w:r>
          </w:p>
          <w:p w:rsidR="00000000" w:rsidDel="00000000" w:rsidP="00000000" w:rsidRDefault="00000000" w:rsidRPr="00000000" w14:paraId="00000044">
            <w:pPr>
              <w:numPr>
                <w:ilvl w:val="0"/>
                <w:numId w:val="2"/>
              </w:numPr>
              <w:spacing w:after="160" w:line="259" w:lineRule="auto"/>
              <w:ind w:left="720" w:hanging="360"/>
              <w:rPr>
                <w:rFonts w:ascii="Calibri" w:cs="Calibri" w:eastAsia="Calibri" w:hAnsi="Calibri"/>
                <w:sz w:val="20"/>
                <w:szCs w:val="20"/>
              </w:rPr>
            </w:pPr>
            <w:r w:rsidDel="00000000" w:rsidR="00000000" w:rsidRPr="00000000">
              <w:rPr>
                <w:sz w:val="20"/>
                <w:szCs w:val="20"/>
                <w:rtl w:val="0"/>
              </w:rPr>
              <w:t xml:space="preserve">L’identification des groupes d'enfants particulièrement à risque, tels que les enfants handicapés ou atteints de maladies chroniques, associés aux forces armées ou aux groupes armés, ou en détention (ou dont les parents sont en détention), les enfants qui sont parents et chefs de famille, les adolescentes, les bébés et les très jeunes enfants</w:t>
            </w:r>
          </w:p>
          <w:p w:rsidR="00000000" w:rsidDel="00000000" w:rsidP="00000000" w:rsidRDefault="00000000" w:rsidRPr="00000000" w14:paraId="00000045">
            <w:pPr>
              <w:numPr>
                <w:ilvl w:val="0"/>
                <w:numId w:val="2"/>
              </w:numPr>
              <w:spacing w:after="160" w:line="259" w:lineRule="auto"/>
              <w:ind w:left="720" w:hanging="360"/>
              <w:rPr>
                <w:sz w:val="20"/>
                <w:szCs w:val="20"/>
                <w:u w:val="no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Information sur les pratiques locales et les types de dispositifs de prise en charge mis en place pour l</w:t>
            </w:r>
            <w:r w:rsidDel="00000000" w:rsidR="00000000" w:rsidRPr="00000000">
              <w:rPr>
                <w:sz w:val="20"/>
                <w:szCs w:val="20"/>
                <w:rtl w:val="0"/>
              </w:rPr>
              <w:t xml:space="preserve">es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ENAS avant et pendant la crise.</w:t>
            </w:r>
          </w:p>
          <w:p w:rsidR="00000000" w:rsidDel="00000000" w:rsidP="00000000" w:rsidRDefault="00000000" w:rsidRPr="00000000" w14:paraId="00000046">
            <w:pPr>
              <w:numPr>
                <w:ilvl w:val="0"/>
                <w:numId w:val="3"/>
              </w:numPr>
              <w:spacing w:line="259" w:lineRule="auto"/>
              <w:ind w:left="720" w:hanging="360"/>
              <w:rPr>
                <w:rFonts w:ascii="Calibri" w:cs="Calibri" w:eastAsia="Calibri" w:hAnsi="Calibri"/>
                <w:sz w:val="20"/>
                <w:szCs w:val="20"/>
              </w:rPr>
            </w:pPr>
            <w:r w:rsidDel="00000000" w:rsidR="00000000" w:rsidRPr="00000000">
              <w:rPr>
                <w:sz w:val="20"/>
                <w:szCs w:val="20"/>
                <w:rtl w:val="0"/>
              </w:rPr>
              <w:t xml:space="preserve">Les rapports ou preuves d'enfants disparus, y compris le nombre estimé et les causes potentielles (en veillant à ce que les enfants soient orientés, le cas échéant, vers d'autres organisations, telles que le CICR, pour les cas d'enfants portés disparus).</w:t>
            </w:r>
          </w:p>
          <w:p w:rsidR="00000000" w:rsidDel="00000000" w:rsidP="00000000" w:rsidRDefault="00000000" w:rsidRPr="00000000" w14:paraId="00000047">
            <w:pPr>
              <w:numPr>
                <w:ilvl w:val="0"/>
                <w:numId w:val="3"/>
              </w:numPr>
              <w:spacing w:line="259" w:lineRule="auto"/>
              <w:ind w:left="720" w:hanging="360"/>
              <w:rPr>
                <w:rFonts w:ascii="Calibri" w:cs="Calibri" w:eastAsia="Calibri" w:hAnsi="Calibri"/>
                <w:sz w:val="20"/>
                <w:szCs w:val="20"/>
              </w:rPr>
            </w:pPr>
            <w:r w:rsidDel="00000000" w:rsidR="00000000" w:rsidRPr="00000000">
              <w:rPr>
                <w:sz w:val="20"/>
                <w:szCs w:val="20"/>
                <w:rtl w:val="0"/>
              </w:rPr>
              <w:t xml:space="preserve">Les rapports ou preuves d'enfants retirés de leur communauté, y compris des estimations du nombre et des informations sur les personnes qui les enlèvent et pour quelle raison.</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6"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sz w:val="20"/>
                <w:szCs w:val="20"/>
                <w:rtl w:val="0"/>
              </w:rPr>
              <w:t xml:space="preserve">L’a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nalyse des mesures prises par la communauté elle-même et ses ressources, telles que les membres de la communauté ayant des compétences transférables, tels que les travailleurs sociaux, ou les groupes de jeunes actifs, tels que les scouts.</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16" w:lineRule="auto"/>
              <w:ind w:left="720" w:right="0" w:hanging="360"/>
              <w:jc w:val="left"/>
              <w:rPr/>
            </w:pPr>
            <w:r w:rsidDel="00000000" w:rsidR="00000000" w:rsidRPr="00000000">
              <w:rPr>
                <w:sz w:val="20"/>
                <w:szCs w:val="20"/>
                <w:rtl w:val="0"/>
              </w:rPr>
              <w:t xml:space="preserve">L’a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nalyse de l'impact potentiel des programmes d'aide sur l'unité familiale.</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3" w:before="0" w:line="216" w:lineRule="auto"/>
              <w:ind w:left="720" w:right="0" w:hanging="360"/>
              <w:jc w:val="left"/>
              <w:rPr/>
            </w:pPr>
            <w:r w:rsidDel="00000000" w:rsidR="00000000" w:rsidRPr="00000000">
              <w:rPr>
                <w:sz w:val="20"/>
                <w:szCs w:val="20"/>
                <w:rtl w:val="0"/>
              </w:rPr>
              <w:t xml:space="preserve">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dentification des facteurs susceptibles de provoquer de nouvelles séparations ou d'aggraver la situation des enfants déjà séparés, tels que les caractéristiques et les degrés de violence, les taux de mortalité, les déplacements, les conditions climatiques, l'absence de sécurité alimentaire et d'accès aux services de base, l'absence d'activités génératrices de revenus, le recrutement dans les forces armées ou les groupes armés, et la prise en charge en établissement.</w:t>
            </w:r>
            <w:r w:rsidDel="00000000" w:rsidR="00000000" w:rsidRPr="00000000">
              <w:rPr>
                <w:rtl w:val="0"/>
              </w:rPr>
            </w:r>
          </w:p>
          <w:p w:rsidR="00000000" w:rsidDel="00000000" w:rsidP="00000000" w:rsidRDefault="00000000" w:rsidRPr="00000000" w14:paraId="0000004C">
            <w:pPr>
              <w:ind w:left="14" w:firstLine="0"/>
              <w:rPr/>
            </w:pPr>
            <w:r w:rsidDel="00000000" w:rsidR="00000000" w:rsidRPr="00000000">
              <w:rPr>
                <w:rtl w:val="0"/>
              </w:rPr>
            </w:r>
          </w:p>
          <w:p w:rsidR="00000000" w:rsidDel="00000000" w:rsidP="00000000" w:rsidRDefault="00000000" w:rsidRPr="00000000" w14:paraId="0000004D">
            <w:pPr>
              <w:ind w:left="14" w:firstLine="0"/>
              <w:rPr/>
            </w:pPr>
            <w:r w:rsidDel="00000000" w:rsidR="00000000" w:rsidRPr="00000000">
              <w:rPr>
                <w:rtl w:val="0"/>
              </w:rPr>
            </w:r>
          </w:p>
          <w:p w:rsidR="00000000" w:rsidDel="00000000" w:rsidP="00000000" w:rsidRDefault="00000000" w:rsidRPr="00000000" w14:paraId="0000004E">
            <w:pPr>
              <w:ind w:left="14" w:firstLine="0"/>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tc>
      </w:tr>
    </w:tbl>
    <w:p w:rsidR="00000000" w:rsidDel="00000000" w:rsidP="00000000" w:rsidRDefault="00000000" w:rsidRPr="00000000" w14:paraId="00000050">
      <w:pPr>
        <w:spacing w:after="0" w:lineRule="auto"/>
        <w:rPr/>
        <w:sectPr>
          <w:pgSz w:h="16838" w:w="11906" w:orient="portrait"/>
          <w:pgMar w:bottom="800" w:top="1432" w:left="807" w:right="1412" w:header="720" w:footer="720"/>
          <w:pgNumType w:start="1"/>
        </w:sectPr>
      </w:pPr>
      <w:r w:rsidDel="00000000" w:rsidR="00000000" w:rsidRPr="00000000">
        <w:rPr>
          <w:rtl w:val="0"/>
        </w:rPr>
      </w:r>
    </w:p>
    <w:p w:rsidR="00000000" w:rsidDel="00000000" w:rsidP="00000000" w:rsidRDefault="00000000" w:rsidRPr="00000000" w14:paraId="00000051">
      <w:pPr>
        <w:spacing w:after="24" w:line="223" w:lineRule="auto"/>
        <w:ind w:left="-5" w:hanging="10"/>
        <w:rPr/>
      </w:pPr>
      <w:r w:rsidDel="00000000" w:rsidR="00000000" w:rsidRPr="00000000">
        <w:rPr>
          <w:sz w:val="16"/>
          <w:szCs w:val="16"/>
          <w:rtl w:val="0"/>
        </w:rPr>
        <w:t xml:space="preserve">(Adapté de Comité international de la Croix-Rouge, Comité international de secours, Save the Children Royaume-Uni, Fonds des Nations Unies pour l'enfance, Haut-Commissariat des Nations Unies pour les réfugiés, World Vision, Principes directeurs interinstitutions relatifs aux enfants non accompagnés et séparés, CICR, 2004, p. 30-32)</w:t>
      </w:r>
      <w:r w:rsidDel="00000000" w:rsidR="00000000" w:rsidRPr="00000000">
        <w:rPr>
          <w:rtl w:val="0"/>
        </w:rPr>
      </w:r>
    </w:p>
    <w:sectPr>
      <w:type w:val="continuous"/>
      <w:pgSz w:h="16838" w:w="11906" w:orient="portrait"/>
      <w:pgMar w:bottom="10255" w:top="1432" w:left="1030" w:right="1253"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Grid" w:customStyle="1">
    <w:name w:val="TableGrid"/>
    <w:pPr>
      <w:spacing w:after="0" w:line="240" w:lineRule="auto"/>
    </w:pPr>
    <w:tblPr>
      <w:tblCellMar>
        <w:top w:w="0.0" w:type="dxa"/>
        <w:left w:w="0.0" w:type="dxa"/>
        <w:bottom w:w="0.0" w:type="dxa"/>
        <w:right w:w="0.0" w:type="dxa"/>
      </w:tblCellMar>
    </w:tblPr>
  </w:style>
  <w:style w:type="character" w:styleId="Textedelespacerserv">
    <w:name w:val="Placeholder Text"/>
    <w:basedOn w:val="Policepardfaut"/>
    <w:uiPriority w:val="99"/>
    <w:semiHidden w:val="1"/>
    <w:rsid w:val="00E14058"/>
    <w:rPr>
      <w:color w:val="808080"/>
    </w:rPr>
  </w:style>
  <w:style w:type="paragraph" w:styleId="Paragraphedeliste">
    <w:name w:val="List Paragraph"/>
    <w:basedOn w:val="Normal"/>
    <w:uiPriority w:val="34"/>
    <w:qFormat w:val="1"/>
    <w:rsid w:val="00E1405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76.0" w:type="dxa"/>
        <w:left w:w="0.0" w:type="dxa"/>
        <w:bottom w:w="0.0" w:type="dxa"/>
        <w:right w:w="8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Nrk4CSIFurHoExDENSwoJ7ZUPQ==">CgMxLjAyDmguZzQzNXE5cWpscmh6OAByITFWcFFsQkVma3QwWVNrVFVUZnlCRVJKNUZqV1VQN0FyYg==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2025-08-22T10:58:00Z</dcterms:created>
  <dc:creator>Admin</dc:creator>
</cp:coreProperties>
</file>